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¿Cómo utilizar el tapabocas correctamente?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Higienizar las manos antes de manipular el tapabocas.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Revisar que el tapabocas se encuentre en un estado óptimo para ser utilizado.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Chequear que la mascarilla se encuentre del lado correcto.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Que cubra el rostro desde el puente de la nariz.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Sujetar la mascarilla alrededor de las orejas.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Cubrir completamente el rostro desde el puente de la nariz hasta debajo del mentón.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 dejar ningún espacio ni huecos del rostro.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7. Reemplazar el tapabocas en caso de que se humedezca.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8. No tocar el tapabocas mientras está en uso. Si se hace, hay que lavarse las manos de manera inmediata.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9. Para sacarse la mascarilla hay que ir de atrás hacia adelante desatándolo con las manos limpias.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10. Al finalizar, lavar las manos con agua y jabón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